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37717B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37717B">
              <w:rPr>
                <w:rFonts w:ascii="Calibri" w:eastAsia="Times New Roman" w:hAnsi="Calibri" w:cs="Times New Roman"/>
                <w:color w:val="000000"/>
                <w:lang w:eastAsia="tr-TR"/>
              </w:rPr>
              <w:t>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37717B" w:rsidP="00B26AA8">
            <w:pPr>
              <w:spacing w:before="120" w:after="120"/>
              <w:rPr>
                <w:i/>
                <w:sz w:val="24"/>
                <w:szCs w:val="24"/>
              </w:rPr>
            </w:pPr>
            <w:r w:rsidRPr="0037717B">
              <w:rPr>
                <w:rFonts w:ascii="Calibri" w:eastAsia="Times New Roman" w:hAnsi="Calibri" w:cs="Times New Roman"/>
                <w:color w:val="000000"/>
                <w:lang w:eastAsia="tr-TR"/>
              </w:rPr>
              <w:t>Sosyal Medya Uzmanlığı ve Etkili İletişim Teknikleri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37717B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37717B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7717B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95C1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E1A0A-F0B6-4D81-87FF-2B4D331B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2020-02-24T08:46:00Z</dcterms:modified>
</cp:coreProperties>
</file>